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FC" w:rsidRPr="00C86BFC" w:rsidRDefault="00C86BFC" w:rsidP="00C86BFC">
      <w:pPr>
        <w:shd w:val="clear" w:color="auto" w:fill="FFFFFF"/>
        <w:spacing w:before="360" w:after="240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</w:pPr>
      <w:bookmarkStart w:id="0" w:name="_GoBack"/>
      <w:bookmarkEnd w:id="0"/>
      <w:r w:rsidRPr="00C86BFC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Конвенция о борьбе с торговлей людьми и c эксплоатацией проституции третьими лицами</w:t>
      </w:r>
    </w:p>
    <w:p w:rsidR="00C86BFC" w:rsidRPr="00C86BFC" w:rsidRDefault="00C86BFC" w:rsidP="00C86BFC">
      <w:pPr>
        <w:pBdr>
          <w:bottom w:val="dotted" w:sz="6" w:space="8" w:color="003399"/>
        </w:pBdr>
        <w:shd w:val="clear" w:color="auto" w:fill="FFFFFF"/>
        <w:spacing w:after="450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Принята </w:t>
      </w:r>
      <w:hyperlink r:id="rId4" w:history="1">
        <w:r w:rsidRPr="00C86BFC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val="en-US"/>
          </w:rPr>
          <w:t>резолюцией 317 (IV)</w:t>
        </w:r>
      </w:hyperlink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 Генеральной Ассамблеи от 2 декабря 1949 года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Преамбула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Принимая во внимание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что проституция и сопровождающее ее зло, каковым является </w:t>
      </w:r>
      <w:hyperlink r:id="rId5" w:history="1">
        <w:r w:rsidRPr="00C86BFC">
          <w:rPr>
            <w:rFonts w:ascii="Arial" w:eastAsia="Times New Roman" w:hAnsi="Arial" w:cs="Arial"/>
            <w:color w:val="333333"/>
            <w:sz w:val="20"/>
            <w:szCs w:val="20"/>
            <w:u w:val="single"/>
            <w:lang w:val="en-US"/>
          </w:rPr>
          <w:t>торговля людьми</w:t>
        </w:r>
      </w:hyperlink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преследующая цели проституции, несовместимы с достоинством и ценностью человеческой личности и угрожают благосостоянию человека, семьи и общества,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принимая во внимание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что в отношении борьбы с торговлей женщинами и детьми имеют силу нижеследующие международные акты: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Международный договор от 18 мая 1904 г. о борьбе с торговлей белыми рабынями, с изменениями, внесенными в него Протоколом</w:t>
      </w:r>
      <w:hyperlink r:id="rId6" w:anchor="aa" w:history="1">
        <w:r w:rsidRPr="00C86BFC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val="en-US"/>
          </w:rPr>
          <w:t>a</w:t>
        </w:r>
      </w:hyperlink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утвержденным Генеральной Ассамблеей Организации Объединенных Наций 3 декабря 1948 года;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2. Международная конвенция от 4 мая 1910 г. о борьбе с торговлей белыми рабынями, с изменениями, внесенными в нее упомянутым выше Протоколом;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3. Международная конвенция от 30 сентября 1921 г. о борьбе с торговлей женщинами и детьми, с изменениями, внесенными в нее Протоколом</w:t>
      </w:r>
      <w:hyperlink r:id="rId7" w:anchor="ab" w:history="1">
        <w:r w:rsidRPr="00C86BFC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val="en-US"/>
          </w:rPr>
          <w:t>b</w:t>
        </w:r>
      </w:hyperlink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принятым Генеральной Ассамблеей Организации Объединенных Наций 20 октября 1947 года;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4. Международная конвенция от 11 октября 1933 г. о борьбе с торговлей совершеннолетними женщинами, с изменениями, внесенными в нее указанным Протоколом,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принимая во внимание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что в 1937 году Лигой Наций был составлен проект конвенции</w:t>
      </w:r>
      <w:hyperlink r:id="rId8" w:anchor="ac" w:history="1">
        <w:r w:rsidRPr="00C86BFC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val="en-US"/>
          </w:rPr>
          <w:t>c</w:t>
        </w:r>
      </w:hyperlink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расширивший круг действия указанных выше актов,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принимая во внимание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что новые факторы, возникшие с 1937 года, делают возможным заключение конвенции, объединяющей в себе вышеуказанные акты и включающей основные положения проекта конвенции 1937 года, равно как и желательные поправки к нему,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посему, договаривающиеся стороны настоящим согласились со следующим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: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Стороны в настоящей Конвенции обязуются подвергать наказанию каждого, кто для удовлетворения похоти другого лица: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сводит, склоняет или совращает в целях проституции другое лицо, даже с согласия этого лица;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2. эксплоатирует проституцию другого лица, даже с согласия этого лица.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Стороны в настоящей Конвенции обязуются далее подвергать наказанию каждого, кто: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содержит дом терпимости или управляет им, или сознательно финансирует или принимает участие в финансировании дома терпимости;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2. сдает в аренду или снимает здание или другое место, или часть такового, зная, что они будут использованы в целях проституции третьими лицами.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3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Поскольку это совместимо с требованиями внутреннего законодательства, покушения на совершение любого из предусмотренных в статьях 1 и 2 правонарушений, равно как и действия, подготовительные к совершению таковых, также являются наказуемыми.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4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Поскольку это совместимо с требованиями внутреннего законодательства, умышленное участие в предусмотренных в статьях 1 и 2 актах также наказуется.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Поскольку это допускается требованиями внутреннего законодательства, акты соучастия рассматриваются как отдельные преступления, если это является необходимым для предупреждения безнаказанности.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5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 тех случаях, когда потерпевшие лица имеют право на основании внутреннего законодательства выступать истцами в делах, касающихся любых преступлений, предусмотренных настоящей Конвенцией, иностранцы пользуются этим правом наравне с гражданами данного государства.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6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Каждая сторона в настоящей Конвенции обязуется принимать все необходимые меры для отмены или аннулирования любого действующего закона, постановления или административного распоряжения, в силу которых лица, занимающиеся или подозреваемые в занятии проституцией, либо подлежат особой регистрации, либо должны иметь особый документ, либо подчиняются исключительным требованиям, имеющим своей целью контроль или оповещение.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7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Приговоры, вынесенные ранее в других государствах за преступления, предусмотренные настоящей Конвенцией, принимаются во внимание, поскольку это допускается внутренним законодательством, для: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установления факта рецидивизма;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2. лишения преступника политических и гражданских прав.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8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Преступления, предусмотренные в статьях 1 и 2 настоящей Конвенции, рассматриваются как преступления, влекущие за собой выдачу, и на них распространяется любой договор о выдаче преступников, который был или будет заключен между любыми сторонами в этой Конвенции.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Те стороны в настоящей Конвенции, которые не обусловливают выдачу преступников существованием о том договоров, отныне в своих взаимоотношениях признают преступления, предусмотренные в статьях 1 и 2 настоящей Конвенции, преступлениями, влекущими за собой выдачу.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Выдача производится согласно закону того государства, к которому обращено требование о выдаче.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9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 государствах, в которых принцип выдачи своих граждан не признается законом, граждане, которые возвращаются в свое государство после совершения ими в другом государстве любого из преступлений, указанных в статьях 1 и 2 настоящей Конвенции, подвергаются преследованию и наказанию по суду их собственного государства.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Это положение не применяется, если в делах такого рода, возникающих между сторонами настоящей Конвенции, требование о выдаче иностранца не может быть удовлетворено.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10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Положения статьи 9 не применяются, если лицо, обвиняемое в совершении преступления, было судимо в другом государстве, и в случае обвинительного приговора, отбыло наказание или было от наказания освобождено, или срок его наказания был сокращен в соответствии с законами этого государства.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11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Ничто в настоящей Конвенции не должно быть истолковано как определение отношения той или иной стороны в ней к общему вопросу о пределах уголовной юрисдикции в соответствии с нормами международного права.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12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Настоящая Конвенция не нарушает принципа, согласно которому предусмотренные Конвенцией преступления в каждом отдельном государстве определяются, равно как виновные в совершении их лица преследуются и наказываются по законам этого государства.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13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Стороны в настоящей Конвенции обязуются выполнять, в соответствии со своими собственными законами и практикой, судебные поручения, относящиеся к предусмотренным в настоящей Конвенции преступлениям.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Передача судебных поручений производится: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путем непосредственных сношений между судебными властями; или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2. путем непосредственных сношений между министрами юстиции двух государств или путем непосредственного обращения других надлежащих властей государства, от которого исходит поручение, к министру юстиции государства, к которому оно обращено; или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3. через посредство дипломатических или консульских представителей государства, от которого исходит поручение, государству, к которому оно обращено. Означенный представитель направляет судебное поручение непосредственно соответствующим судебным властям или же властям, указанным правительством того государства, к которому поручение обращено, причем он получает от этих властей непосредственно документы, являющиеся актом выполнения судебного поручения.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 предусмотренных в пунктах 1 и 3 случаях судебное поручение посылается в копии высшим властям того государства, к которому оно обращено.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Если не имеется какого-либо иного соглашения, судебное поручение всегда составляется на языке тех властей, от которых оно исходит, при непременном условии, что государство, к которому поручение обращено, может требовать представления перевода на свой язык, засвидетельствованного теми властями, от которых поручение исходит.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Каждая сторона в настоящей Конвенции уведомляет каждую другую сторону в этой Конвенции о том методе или о тех методах из упомянутых выше, которые будут считаться ею приемлемыми при направлении ей судебных поручений этим другим государством.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Пока какое-либо государство не сделает такого уведомления, существующий в нем порядок в отношении судебных поручений остается в силе.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Выполнение судебных поручений не может служить основанием для требования о возмещении каких бы то ни было расходов или издержек, за исключением расходов по экспертизе.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Ничто в настоящей статье не должно быть истолковано как обязательство сторон в настоящей Конвенции применять в уголовных делах какую-либо форму или какие-либо методы доказательства, несовместимые с их собственными законами.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14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Каждая сторона в настоящей Конвенции учреждает и содержит орган, которому поручается координация и централизация результатов расследования предусмотренных в настоящей Конвенции преступлений.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Эти органы компилируют всю информацию, собираемую для того, чтобы облегчить предупреждение предусматриваемых в настоящей Конвенции преступлений и наложение наказаний за них, причем эти органы поддерживают тесный контакт с аналогичными органами других стран.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15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Поскольку это совместимо с требованиями внутреннего законодательства и поскольку это будет признано желательным властями, которым подчинены указанные в статье 14 органы, последние сообщают властям, которым подчинены аналогичные органы в других государствах, следующую информацию: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подробности о каждом из предусматриваемых в настоящей Конвенции преступлений и о каждом покушении на совершение такого преступления;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2. подробности о всех случаях розыска, а также уголовного преследования, ареста, осуждения, отказов в допущении и высылке лиц, виновных в совершении преступлений, предусматриваемых в настоящей Конвенции, а также о перемене местожительства таких лиц и любую иную касающуюся их полезную информацию.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Сообщаемая таким путем информация включает описание преступников, их дактилоскопические отпечатки, фотоснимки, сообщение о методе работы, полицейские справки и справки о судимости.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16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Стороны в настоящей Конвенции — через посредство своих правительственных или частных учреждений в области образования, здравоохранения, социального и экономического обслуживания и иных связанных с ним видов обслуживания — обязуются принимать или поощрять все необходимые меры по борьбе с проституцией и по возвращению и приспособлению жертв проституции и предусматриваемых в настоящей Конвенции преступлений к нормальным социальным условиям.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lastRenderedPageBreak/>
        <w:t>Статья 17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 отношении иммиграции и эмиграции стороны в настоящей Конвенции обязуются принимать и проводить все меры, которые требуются согласно обязательствам, принятым ими на себя в соответствии с настоящей Конвенцией, для пресечения торговли людьми обоего пола, преследующей цели проституции. В частности, они обязуются: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издавать все необходимые постановления для защиты иммигрантов и эмигрантов и, в особенности, женщин и детей в пунктах их прибытия и отправления, а также во время их следования;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2. принимать меры для соответствующего оповещения населения об опасностях упомянутой торговли;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3. принимать надлежащие меры для обеспечения наблюдения за железнодорожными станциями, авиапортами, портами и другими общественными местами, а также на пути следования, для предупреждения международной торговли людьми, преследующей цели проституции;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4. принимать все необходимые меры в целях уведомления соответствующих властей о прибытии лиц, которые по имеющимся сведениям </w:t>
      </w: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prima facie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 являются главными виновниками, соучастниками или жертвами этой торговли.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18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Стороны в настоящей Конвенции обязуются — в соответствии с условиями, установленными их собственными законами, — собирать сведения о всех иностранцах, занимающихся проституцией, в целях установления их личности и социального положения, а также в целях обнаружения лиц, побудивших их покинуть свое государство. Эти сведения сообщаются властями государства происхождения означенных лиц в целях их последующей репатриации.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19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Стороны в настоящей Конвенции обязуются, в соответствии с условиями, установленными их собственными законами, и не отменяя этим преследования или иных мероприятий, вызываемых нарушением этих законов, и поскольку это возможно: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1. впредь до проведения окончательных мероприятий по репатриации бедствующих лиц, ставших жертвами международной торговли людьми, преследующей цели проституции, принимать надлежащие меры по оказанию им временной помощи и поддержки;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2. репатриировать указанных в статье 18 лиц, если они этого пожелают или если поступило требование об их репатриации со стороны лиц, в чьем распоряжении они состоят, или если имеется основанный на законе приказ об их высылке из страны. Репатриация производится лишь после того, как достигнуто соглашение с государством назначения о личности и гражданстве репатриируемого лица или о месте и дате его прибытия на границу. Каждая сторона в настоящей Конвенции способствует проезду такого лица через свою территорию.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 случаях, когда указанные в предыдущем абзаце лица не могут сами возместить расходов по репатриации и не имеют ни супруга, ни родных, ни опекуна, которые заплатили бы за них, расходы по репатриации до границы, порта отправления или авиапорта, ближайших к государству их происхождения, оплачиваются государством, в котором данные лица проживают, а остальные связанные с этим расходы принимает на себя государство их происхождения.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20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Стороны в настоящей Конвенции принимают необходимые меры по наблюдению за конторами по найму труда, если эти меры ими еще не приняты, в целях ограждения лиц, ищущих работы, в особенности женщин и детей, от опасности возможной их эксплоатации в целях проституции.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21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Стороны в настоящей Конвенции сообщают Генеральному Секретарю Организации Объединенных Наций о законах и постановлениях, относящихся к предмету настоящей Конвенции и изданных в их государствах, и ежегодно после этого сообщают о законах и постановлениях, которые будут изданы в связи с Конвенцией, а также о всех принятых мерах, касающихся применения настоящей Конвенции. Эта информация периодически опубликовывается Генеральным Секретарем и рассылается им всем </w:t>
      </w:r>
      <w:hyperlink r:id="rId9" w:history="1">
        <w:r w:rsidRPr="00C86BFC">
          <w:rPr>
            <w:rFonts w:ascii="Arial" w:eastAsia="Times New Roman" w:hAnsi="Arial" w:cs="Arial"/>
            <w:color w:val="333333"/>
            <w:sz w:val="20"/>
            <w:szCs w:val="20"/>
            <w:u w:val="single"/>
            <w:lang w:val="en-US"/>
          </w:rPr>
          <w:t>членам Организации Объединенных Наций</w:t>
        </w:r>
      </w:hyperlink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, а также не состоящим членами Организации государствам, которым настоящая Конвенция официально сообщается в соответствии со статьей 23.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22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Если между сторонами в настоящей Конвенции возникает спор относительно ее толкования или применения и если этот спор не может быть разрешен иным путем, по требованию любой из сторон в споре, последний передается в </w:t>
      </w:r>
      <w:hyperlink r:id="rId10" w:history="1">
        <w:r w:rsidRPr="00C86BFC">
          <w:rPr>
            <w:rFonts w:ascii="Arial" w:eastAsia="Times New Roman" w:hAnsi="Arial" w:cs="Arial"/>
            <w:color w:val="333333"/>
            <w:sz w:val="20"/>
            <w:szCs w:val="20"/>
            <w:u w:val="single"/>
            <w:lang w:val="en-US"/>
          </w:rPr>
          <w:t>Международный Суд</w:t>
        </w:r>
      </w:hyperlink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23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Настоящая Конвенция открыта для подписания от имени любого члена Организации Объединенных Наций, а также от имени любого другого государства, которому </w:t>
      </w:r>
      <w:hyperlink r:id="rId11" w:history="1">
        <w:r w:rsidRPr="00C86BFC">
          <w:rPr>
            <w:rFonts w:ascii="Arial" w:eastAsia="Times New Roman" w:hAnsi="Arial" w:cs="Arial"/>
            <w:color w:val="333333"/>
            <w:sz w:val="20"/>
            <w:szCs w:val="20"/>
            <w:u w:val="single"/>
            <w:lang w:val="en-US"/>
          </w:rPr>
          <w:t>Экономическим и Социальным Советом</w:t>
        </w:r>
      </w:hyperlink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 было обращено соответствующее приглашение.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Настоящая Конвенция подлежит ратификации и акты ратификации депонируются у Генерального Секретаря Организации Объединенных Наций.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Государства, упоминаемые в первом абзаце и не подписавшие настоящую Конвенцию, могут к ней присоединиться.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Присоединение совершается путем депонирования у Генерального Секретаря Организации Объединенных Наций акта о присоединении.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 настоящей Конвенции слово «государство» включает все колонии и подопечные территории государства, подписавшего настоящую Конвенцию или присоединившегося к ней, и все территории, за которые это государство несет международную ответственность.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24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Настоящая Конвенция вступает в силу на девяностый день после даты депонирования второго акта о ратификации или присоединении.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В отношении каждого государства, ратифицирующего настоящую Конвенцию или присоединяющегося к ней после депонирования второго акта о ратификации или присоединении, настоящая Конвенция вступает в силу через девяносто дней после депонирования этим государством своего акта о ратификации или присоединении.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25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 истечении пяти лет со времени вступления настоящей Конвенции в силу, любая сторона в настоящей Конвенции может денонсировать ее путем письменного уведомления об этом, адресованного Генеральному Секретарю Организации Объединенных Наций.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lastRenderedPageBreak/>
        <w:t>Такая денонсация вступает в силу в отношении заявляющей о ней стороны через год после даты получения ее заявления Генеральным Секретарем Организации Объединенных Наций.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26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Генеральный Секретарь Организации Объединенных Наций уведомляет всех членов Организации Объединенных Наций и государства, не состоящие членами Организации и упомянутые в статье 23: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a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) об актах подписания, ратификации и присоединения, полученных в соответствии со статьей 23;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b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) о дате вступления в силу настоящей Конвенции в соответствии со статьей 24;</w:t>
      </w:r>
    </w:p>
    <w:p w:rsidR="00C86BFC" w:rsidRPr="00C86BFC" w:rsidRDefault="00C86BFC" w:rsidP="00C86BF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i/>
          <w:iCs/>
          <w:color w:val="333333"/>
          <w:sz w:val="20"/>
          <w:szCs w:val="20"/>
          <w:lang w:val="en-US"/>
        </w:rPr>
        <w:t>c</w:t>
      </w: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) о денонсациях, заявления о которых получены в соответствии со статьей 25.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27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Каждая сторона в настоящей Конвенции обязуется принять, в соответствии со своей конституцией, законодательные или иные мероприятия, необходимые для того, чтобы обеспечить применение настоящей Конвенции.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Статья 28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Положения настоящей Конвенции, поскольку это касается взаимоотношений между сторонами в ней, отменяют положения международных актов, упоминаемых в пунктах 1, 2, 3 и 4 второго абзаца преамбулы, причем каждый из этих актов считается аннулированным после того, как все стороны в них станут сторонами в настоящей Конвенции.</w:t>
      </w:r>
    </w:p>
    <w:p w:rsidR="00C86BFC" w:rsidRPr="00C86BFC" w:rsidRDefault="00C86BFC" w:rsidP="00C86BFC">
      <w:pPr>
        <w:pBdr>
          <w:bottom w:val="dotted" w:sz="6" w:space="2" w:color="074BB0"/>
        </w:pBdr>
        <w:shd w:val="clear" w:color="auto" w:fill="F6F6F7"/>
        <w:spacing w:before="480" w:after="120"/>
        <w:outlineLvl w:val="2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86BFC">
        <w:rPr>
          <w:rFonts w:ascii="Arial" w:eastAsia="Times New Roman" w:hAnsi="Arial" w:cs="Arial"/>
          <w:color w:val="000000"/>
          <w:sz w:val="23"/>
          <w:szCs w:val="23"/>
          <w:lang w:val="en-US"/>
        </w:rPr>
        <w:t>Заключительный протокол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Ничто в настоящей Конвенции не должно рассматриваться как препятствие к выполнению требований каких-либо законов, устанавливающих более строгие условия для осуществления положений, обеспечивающих борьбу с торговлей людьми и с эксплоатацией других лиц в целях проституции, чем условия, предусмотренные настоящей Конвенцией.</w:t>
      </w:r>
    </w:p>
    <w:p w:rsidR="00C86BFC" w:rsidRPr="00C86BFC" w:rsidRDefault="00C86BFC" w:rsidP="00C86BF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C86BFC">
        <w:rPr>
          <w:rFonts w:ascii="Arial" w:eastAsia="Times New Roman" w:hAnsi="Arial" w:cs="Arial"/>
          <w:color w:val="333333"/>
          <w:sz w:val="20"/>
          <w:szCs w:val="20"/>
          <w:lang w:val="en-US"/>
        </w:rPr>
        <w:t>Положения статей 23–26 настоящей Конвенции применимы к настоящему Протоколу.</w:t>
      </w:r>
    </w:p>
    <w:p w:rsidR="00C86BFC" w:rsidRPr="00C86BFC" w:rsidRDefault="00C86BFC" w:rsidP="00C86BFC">
      <w:pPr>
        <w:rPr>
          <w:rFonts w:eastAsia="Times New Roman" w:cs="Times New Roman"/>
          <w:szCs w:val="24"/>
          <w:lang w:val="en-US"/>
        </w:rPr>
      </w:pPr>
      <w:r w:rsidRPr="00C86BFC">
        <w:rPr>
          <w:rFonts w:eastAsia="Times New Roman" w:cs="Times New Roman"/>
          <w:szCs w:val="24"/>
          <w:lang w:val="en-US"/>
        </w:rPr>
        <w:pict>
          <v:rect id="_x0000_i1025" style="width:0;height:.6pt" o:hralign="center" o:hrstd="t" o:hrnoshade="t" o:hr="t" fillcolor="#333" stroked="f"/>
        </w:pict>
      </w:r>
    </w:p>
    <w:p w:rsidR="00C86BFC" w:rsidRPr="00C86BFC" w:rsidRDefault="00C86BFC" w:rsidP="00C86BFC">
      <w:pPr>
        <w:shd w:val="clear" w:color="auto" w:fill="FFFFFF"/>
        <w:spacing w:after="240"/>
        <w:rPr>
          <w:rFonts w:ascii="Arial" w:eastAsia="Times New Roman" w:hAnsi="Arial" w:cs="Arial"/>
          <w:color w:val="7C7C7C"/>
          <w:sz w:val="20"/>
          <w:szCs w:val="20"/>
          <w:lang w:val="en-US"/>
        </w:rPr>
      </w:pPr>
      <w:bookmarkStart w:id="1" w:name="aa"/>
      <w:bookmarkEnd w:id="1"/>
      <w:r w:rsidRPr="00C86BFC">
        <w:rPr>
          <w:rFonts w:ascii="Arial" w:eastAsia="Times New Roman" w:hAnsi="Arial" w:cs="Arial"/>
          <w:color w:val="7C7C7C"/>
          <w:sz w:val="20"/>
          <w:szCs w:val="20"/>
          <w:vertAlign w:val="superscript"/>
          <w:lang w:val="en-US"/>
        </w:rPr>
        <w:t>a</w:t>
      </w:r>
      <w:r w:rsidRPr="00C86BFC">
        <w:rPr>
          <w:rFonts w:ascii="Arial" w:eastAsia="Times New Roman" w:hAnsi="Arial" w:cs="Arial"/>
          <w:color w:val="7C7C7C"/>
          <w:sz w:val="20"/>
          <w:szCs w:val="20"/>
          <w:lang w:val="en-US"/>
        </w:rPr>
        <w:t> Официальные отчеты Генеральной Ассамблеи, первая часть третьей сессии, Резолюции, стр. 85.</w:t>
      </w:r>
    </w:p>
    <w:p w:rsidR="00C86BFC" w:rsidRPr="00C86BFC" w:rsidRDefault="00C86BFC" w:rsidP="00C86BFC">
      <w:pPr>
        <w:shd w:val="clear" w:color="auto" w:fill="FFFFFF"/>
        <w:spacing w:after="240"/>
        <w:rPr>
          <w:rFonts w:ascii="Arial" w:eastAsia="Times New Roman" w:hAnsi="Arial" w:cs="Arial"/>
          <w:color w:val="7C7C7C"/>
          <w:sz w:val="20"/>
          <w:szCs w:val="20"/>
          <w:lang w:val="en-US"/>
        </w:rPr>
      </w:pPr>
      <w:bookmarkStart w:id="2" w:name="ab"/>
      <w:bookmarkEnd w:id="2"/>
      <w:r w:rsidRPr="00C86BFC">
        <w:rPr>
          <w:rFonts w:ascii="Arial" w:eastAsia="Times New Roman" w:hAnsi="Arial" w:cs="Arial"/>
          <w:color w:val="7C7C7C"/>
          <w:sz w:val="20"/>
          <w:szCs w:val="20"/>
          <w:vertAlign w:val="superscript"/>
          <w:lang w:val="en-US"/>
        </w:rPr>
        <w:t>b</w:t>
      </w:r>
      <w:r w:rsidRPr="00C86BFC">
        <w:rPr>
          <w:rFonts w:ascii="Arial" w:eastAsia="Times New Roman" w:hAnsi="Arial" w:cs="Arial"/>
          <w:color w:val="7C7C7C"/>
          <w:sz w:val="20"/>
          <w:szCs w:val="20"/>
          <w:lang w:val="en-US"/>
        </w:rPr>
        <w:t> Официальные отчеты Генеральной Ассамблеи, вторая сессия, Резолюции, стр. 21.</w:t>
      </w:r>
    </w:p>
    <w:p w:rsidR="00C86BFC" w:rsidRPr="00C86BFC" w:rsidRDefault="00C86BFC" w:rsidP="00C86BFC">
      <w:pPr>
        <w:shd w:val="clear" w:color="auto" w:fill="FFFFFF"/>
        <w:spacing w:after="240"/>
        <w:rPr>
          <w:rFonts w:ascii="Arial" w:eastAsia="Times New Roman" w:hAnsi="Arial" w:cs="Arial"/>
          <w:color w:val="7C7C7C"/>
          <w:sz w:val="20"/>
          <w:szCs w:val="20"/>
          <w:lang w:val="en-US"/>
        </w:rPr>
      </w:pPr>
      <w:bookmarkStart w:id="3" w:name="ac"/>
      <w:bookmarkEnd w:id="3"/>
      <w:r w:rsidRPr="00C86BFC">
        <w:rPr>
          <w:rFonts w:ascii="Arial" w:eastAsia="Times New Roman" w:hAnsi="Arial" w:cs="Arial"/>
          <w:color w:val="7C7C7C"/>
          <w:sz w:val="20"/>
          <w:szCs w:val="20"/>
          <w:vertAlign w:val="superscript"/>
          <w:lang w:val="en-US"/>
        </w:rPr>
        <w:t>c</w:t>
      </w:r>
      <w:r w:rsidRPr="00C86BFC">
        <w:rPr>
          <w:rFonts w:ascii="Arial" w:eastAsia="Times New Roman" w:hAnsi="Arial" w:cs="Arial"/>
          <w:color w:val="7C7C7C"/>
          <w:sz w:val="20"/>
          <w:szCs w:val="20"/>
          <w:lang w:val="en-US"/>
        </w:rPr>
        <w:t> </w:t>
      </w:r>
      <w:r w:rsidRPr="00C86BFC">
        <w:rPr>
          <w:rFonts w:ascii="Arial" w:eastAsia="Times New Roman" w:hAnsi="Arial" w:cs="Arial"/>
          <w:i/>
          <w:iCs/>
          <w:color w:val="7C7C7C"/>
          <w:sz w:val="20"/>
          <w:szCs w:val="20"/>
          <w:lang w:val="en-US"/>
        </w:rPr>
        <w:t>League of Nations Official Journal</w:t>
      </w:r>
      <w:r w:rsidRPr="00C86BFC">
        <w:rPr>
          <w:rFonts w:ascii="Arial" w:eastAsia="Times New Roman" w:hAnsi="Arial" w:cs="Arial"/>
          <w:color w:val="7C7C7C"/>
          <w:sz w:val="20"/>
          <w:szCs w:val="20"/>
          <w:lang w:val="en-US"/>
        </w:rPr>
        <w:t> или </w:t>
      </w:r>
      <w:r w:rsidRPr="00C86BFC">
        <w:rPr>
          <w:rFonts w:ascii="Arial" w:eastAsia="Times New Roman" w:hAnsi="Arial" w:cs="Arial"/>
          <w:i/>
          <w:iCs/>
          <w:color w:val="7C7C7C"/>
          <w:sz w:val="20"/>
          <w:szCs w:val="20"/>
          <w:lang w:val="en-US"/>
        </w:rPr>
        <w:t>Société des Nations</w:t>
      </w:r>
      <w:r w:rsidRPr="00C86BFC">
        <w:rPr>
          <w:rFonts w:ascii="Arial" w:eastAsia="Times New Roman" w:hAnsi="Arial" w:cs="Arial"/>
          <w:color w:val="7C7C7C"/>
          <w:sz w:val="20"/>
          <w:szCs w:val="20"/>
          <w:lang w:val="en-US"/>
        </w:rPr>
        <w:t> — Journal Officiel, 18-й год, № 12, стр. 955.</w:t>
      </w:r>
    </w:p>
    <w:p w:rsidR="00C6111C" w:rsidRDefault="00C6111C"/>
    <w:sectPr w:rsidR="00C6111C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0C"/>
    <w:rsid w:val="00185048"/>
    <w:rsid w:val="00B74E0C"/>
    <w:rsid w:val="00C6111C"/>
    <w:rsid w:val="00C86BFC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899E0-100D-4E17-A19D-1DB5DF8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BF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86B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BFC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6BFC"/>
    <w:rPr>
      <w:rFonts w:eastAsia="Times New Roman" w:cs="Times New Roman"/>
      <w:b/>
      <w:bCs/>
      <w:sz w:val="27"/>
      <w:szCs w:val="27"/>
      <w:lang w:val="en-US"/>
    </w:rPr>
  </w:style>
  <w:style w:type="paragraph" w:customStyle="1" w:styleId="info">
    <w:name w:val="info"/>
    <w:basedOn w:val="Normal"/>
    <w:rsid w:val="00C86BFC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6B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6BFC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86BFC"/>
    <w:rPr>
      <w:i/>
      <w:iCs/>
    </w:rPr>
  </w:style>
  <w:style w:type="paragraph" w:customStyle="1" w:styleId="notes">
    <w:name w:val="notes"/>
    <w:basedOn w:val="Normal"/>
    <w:rsid w:val="00C86BFC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50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3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1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7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8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51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conventions/trafficking_suppression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ru/documents/decl_conv/conventions/trafficking_suppression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conventions/trafficking_suppression.shtml" TargetMode="External"/><Relationship Id="rId11" Type="http://schemas.openxmlformats.org/officeDocument/2006/relationships/hyperlink" Target="http://www.un.org/ru/ecosoc/" TargetMode="External"/><Relationship Id="rId5" Type="http://schemas.openxmlformats.org/officeDocument/2006/relationships/hyperlink" Target="http://www.un.org/ru/rights/trafficking/" TargetMode="External"/><Relationship Id="rId10" Type="http://schemas.openxmlformats.org/officeDocument/2006/relationships/hyperlink" Target="http://www.un.org/ru/icj/" TargetMode="External"/><Relationship Id="rId4" Type="http://schemas.openxmlformats.org/officeDocument/2006/relationships/hyperlink" Target="http://www.un.org/ru/documents/ods.asp?m=A/RES/317(IV)" TargetMode="External"/><Relationship Id="rId9" Type="http://schemas.openxmlformats.org/officeDocument/2006/relationships/hyperlink" Target="http://www.un.org/ru/me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2676</Words>
  <Characters>15256</Characters>
  <Application>Microsoft Office Word</Application>
  <DocSecurity>0</DocSecurity>
  <Lines>127</Lines>
  <Paragraphs>35</Paragraphs>
  <ScaleCrop>false</ScaleCrop>
  <Company>OSCE</Company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Fayzullo Nasimov</dc:creator>
  <cp:keywords/>
  <dc:description/>
  <cp:lastModifiedBy>Fayzullo Nasimov</cp:lastModifiedBy>
  <cp:revision>2</cp:revision>
  <dcterms:created xsi:type="dcterms:W3CDTF">2020-07-09T15:28:00Z</dcterms:created>
  <dcterms:modified xsi:type="dcterms:W3CDTF">2020-07-09T15:28:00Z</dcterms:modified>
</cp:coreProperties>
</file>